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3D" w:rsidRPr="005C633D" w:rsidRDefault="005C633D" w:rsidP="00ED602E">
      <w:pPr>
        <w:pStyle w:val="Titel"/>
        <w:rPr>
          <w:lang w:val="es-ES"/>
        </w:rPr>
      </w:pPr>
      <w:r w:rsidRPr="005C633D">
        <w:rPr>
          <w:lang w:val="es-ES"/>
        </w:rPr>
        <w:t xml:space="preserve">La honestidad – </w:t>
      </w:r>
      <w:r w:rsidR="00ED602E">
        <w:rPr>
          <w:lang w:val="es-ES"/>
        </w:rPr>
        <w:t xml:space="preserve">en El Por qué de las cosas - </w:t>
      </w:r>
      <w:r w:rsidRPr="005C633D">
        <w:rPr>
          <w:lang w:val="es-ES"/>
        </w:rPr>
        <w:t>Quim Monzó</w:t>
      </w:r>
    </w:p>
    <w:p w:rsidR="005C633D" w:rsidRPr="005C633D" w:rsidRDefault="00ED602E" w:rsidP="005C633D">
      <w:pPr>
        <w:rPr>
          <w:lang w:val="es-ES"/>
        </w:rPr>
      </w:pPr>
      <w:r>
        <w:rPr>
          <w:lang w:val="es-ES"/>
        </w:rPr>
        <w:t>Editorial Compactos Anagrama. 2005. ISBN: 84-339-6819-X</w:t>
      </w:r>
    </w:p>
    <w:p w:rsidR="005C633D" w:rsidRDefault="00ED602E" w:rsidP="00ED602E">
      <w:pPr>
        <w:pStyle w:val="berschrift2"/>
        <w:rPr>
          <w:lang w:val="es-ES"/>
        </w:rPr>
      </w:pPr>
      <w:r w:rsidRPr="00ED602E">
        <w:rPr>
          <w:lang w:val="es-ES"/>
        </w:rPr>
        <w:t xml:space="preserve">Extracto p. </w:t>
      </w:r>
      <w:r>
        <w:rPr>
          <w:lang w:val="es-ES"/>
        </w:rPr>
        <w:t>9</w:t>
      </w:r>
    </w:p>
    <w:p w:rsidR="00ED602E" w:rsidRPr="00ED602E" w:rsidRDefault="00ED602E" w:rsidP="00ED602E">
      <w:pPr>
        <w:rPr>
          <w:lang w:val="es-ES"/>
        </w:rPr>
      </w:pPr>
      <w:r>
        <w:rPr>
          <w:lang w:val="es-ES"/>
        </w:rPr>
        <w:t>La enfermera entra en la habitación 93, dice “Buenas tardes” y se acerca a la cama del enfermo, que yace con los ojos. [...] Con los presentimientos más negros, la enfermera coge la muñeca del enfermo para tomarle el pulso. No tiene. Esta muerto. [... ] La enfermera [...] mira el reloj. No le va nada bien que le haya muerto un paciente en este momento. Le falta un cu</w:t>
      </w:r>
      <w:r w:rsidR="0099114B">
        <w:rPr>
          <w:lang w:val="es-ES"/>
        </w:rPr>
        <w:t xml:space="preserve">arto de </w:t>
      </w:r>
      <w:r>
        <w:rPr>
          <w:lang w:val="es-ES"/>
        </w:rPr>
        <w:t>hor</w:t>
      </w:r>
      <w:r w:rsidR="0099114B">
        <w:rPr>
          <w:lang w:val="es-ES"/>
        </w:rPr>
        <w:t>a</w:t>
      </w:r>
      <w:r>
        <w:rPr>
          <w:lang w:val="es-ES"/>
        </w:rPr>
        <w:t xml:space="preserve"> para irse, y hoy m</w:t>
      </w:r>
      <w:r w:rsidR="0099114B">
        <w:rPr>
          <w:lang w:val="es-ES"/>
        </w:rPr>
        <w:t>ás que nunca le interesa salir rápido</w:t>
      </w:r>
      <w:r>
        <w:rPr>
          <w:lang w:val="es-ES"/>
        </w:rPr>
        <w:t xml:space="preserve"> porque al fin ha conseguido que el novio de su mejor amiga le haya dicho que se vieran, justamente con la excusa de </w:t>
      </w:r>
      <w:r w:rsidR="0099114B">
        <w:rPr>
          <w:lang w:val="es-ES"/>
        </w:rPr>
        <w:t>hablar de su amiga</w:t>
      </w:r>
      <w:r>
        <w:rPr>
          <w:lang w:val="es-ES"/>
        </w:rPr>
        <w:t>. Aunque ella sabe que es hombre que no se anda por las ramas y que hablar es lo q</w:t>
      </w:r>
      <w:r w:rsidR="0099114B">
        <w:rPr>
          <w:lang w:val="es-ES"/>
        </w:rPr>
        <w:t xml:space="preserve">ue </w:t>
      </w:r>
      <w:r>
        <w:rPr>
          <w:lang w:val="es-ES"/>
        </w:rPr>
        <w:t>menos le interesa en el mundo ...</w:t>
      </w:r>
    </w:p>
    <w:p w:rsidR="00ED602E" w:rsidRPr="00ED602E" w:rsidRDefault="00ED602E" w:rsidP="00ED602E">
      <w:pPr>
        <w:pStyle w:val="berschrift2"/>
        <w:rPr>
          <w:lang w:val="es-ES"/>
        </w:rPr>
      </w:pPr>
      <w:r w:rsidRPr="00ED602E">
        <w:rPr>
          <w:lang w:val="es-ES"/>
        </w:rPr>
        <w:t>Recetas</w:t>
      </w:r>
    </w:p>
    <w:p w:rsidR="005C633D" w:rsidRPr="00ED602E" w:rsidRDefault="005C633D" w:rsidP="00ED602E">
      <w:pPr>
        <w:pStyle w:val="Untertitel"/>
        <w:rPr>
          <w:lang w:val="es-ES"/>
        </w:rPr>
      </w:pPr>
      <w:r w:rsidRPr="00ED602E">
        <w:rPr>
          <w:lang w:val="es-ES"/>
        </w:rPr>
        <w:t>lección 1</w:t>
      </w:r>
    </w:p>
    <w:p w:rsidR="005C633D" w:rsidRPr="00ED602E" w:rsidRDefault="005C633D" w:rsidP="005C633D">
      <w:pPr>
        <w:numPr>
          <w:ilvl w:val="0"/>
          <w:numId w:val="1"/>
        </w:numPr>
        <w:rPr>
          <w:lang w:val="es-ES"/>
        </w:rPr>
      </w:pPr>
      <w:r w:rsidRPr="00ED602E">
        <w:rPr>
          <w:lang w:val="es-ES"/>
        </w:rPr>
        <w:t>trabajar con la palabra honestidad</w:t>
      </w:r>
    </w:p>
    <w:p w:rsidR="005C633D" w:rsidRPr="00C36951" w:rsidRDefault="005C633D" w:rsidP="005C633D">
      <w:pPr>
        <w:numPr>
          <w:ilvl w:val="0"/>
          <w:numId w:val="1"/>
        </w:numPr>
        <w:rPr>
          <w:lang w:val="es-ES"/>
        </w:rPr>
      </w:pPr>
      <w:r w:rsidRPr="00C36951">
        <w:rPr>
          <w:lang w:val="es-ES"/>
        </w:rPr>
        <w:t>leer hasta p. 10 con espaguetis y dejarles encontrar la continuación</w:t>
      </w:r>
    </w:p>
    <w:p w:rsidR="005C633D" w:rsidRDefault="005C633D" w:rsidP="005C633D">
      <w:pPr>
        <w:rPr>
          <w:lang w:val="es-ES"/>
        </w:rPr>
      </w:pPr>
    </w:p>
    <w:p w:rsidR="005C633D" w:rsidRDefault="005C633D" w:rsidP="0099114B">
      <w:pPr>
        <w:pStyle w:val="Untertitel"/>
        <w:rPr>
          <w:lang w:val="es-ES"/>
        </w:rPr>
      </w:pPr>
      <w:r>
        <w:rPr>
          <w:lang w:val="es-ES"/>
        </w:rPr>
        <w:t>lección 2</w:t>
      </w:r>
    </w:p>
    <w:p w:rsidR="005C633D" w:rsidRDefault="005C633D" w:rsidP="005C633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presentarles palabras claves que tienen que relacionar con la historia</w:t>
      </w:r>
    </w:p>
    <w:p w:rsidR="005C633D" w:rsidRDefault="005C633D" w:rsidP="005C633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juntar los personajes principales</w:t>
      </w:r>
    </w:p>
    <w:p w:rsidR="005C633D" w:rsidRDefault="005C633D" w:rsidP="005C633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describir el desarrollo del comportamiento de la enfermera jefe</w:t>
      </w:r>
    </w:p>
    <w:p w:rsidR="005C633D" w:rsidRDefault="005C633D" w:rsidP="00ED602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relacionar título con el texto</w:t>
      </w:r>
    </w:p>
    <w:p w:rsidR="00ED602E" w:rsidRPr="00ED602E" w:rsidRDefault="00ED602E" w:rsidP="00ED602E">
      <w:pPr>
        <w:ind w:left="360"/>
        <w:rPr>
          <w:lang w:val="es-ES"/>
        </w:rPr>
      </w:pPr>
    </w:p>
    <w:tbl>
      <w:tblPr>
        <w:tblStyle w:val="Tabellengitternetz"/>
        <w:tblW w:w="0" w:type="auto"/>
        <w:tblLook w:val="01E0"/>
      </w:tblPr>
      <w:tblGrid>
        <w:gridCol w:w="3070"/>
        <w:gridCol w:w="3071"/>
        <w:gridCol w:w="3071"/>
      </w:tblGrid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lang w:val="es-ES"/>
              </w:rPr>
              <w:br w:type="page"/>
            </w: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hospital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enfermera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paciente</w:t>
            </w:r>
          </w:p>
        </w:tc>
      </w:tr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muerto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compromiso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papeleo</w:t>
            </w:r>
          </w:p>
        </w:tc>
      </w:tr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decisión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Las ganas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Las proposiciones</w:t>
            </w:r>
          </w:p>
        </w:tc>
      </w:tr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cita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sonrisa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Los espaguetis</w:t>
            </w:r>
          </w:p>
        </w:tc>
      </w:tr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médico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reloj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solución</w:t>
            </w:r>
          </w:p>
        </w:tc>
      </w:tr>
      <w:tr w:rsidR="005C633D" w:rsidRPr="00C36951" w:rsidTr="00A91E5B">
        <w:tc>
          <w:tcPr>
            <w:tcW w:w="3070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El compromiso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mirada</w:t>
            </w:r>
          </w:p>
        </w:tc>
        <w:tc>
          <w:tcPr>
            <w:tcW w:w="3071" w:type="dxa"/>
          </w:tcPr>
          <w:p w:rsidR="005C633D" w:rsidRPr="00C36951" w:rsidRDefault="005C633D" w:rsidP="00ED602E">
            <w:pPr>
              <w:spacing w:before="240" w:after="240"/>
              <w:rPr>
                <w:rFonts w:cs="Arial"/>
                <w:b/>
                <w:sz w:val="32"/>
                <w:szCs w:val="32"/>
                <w:lang w:val="es-ES"/>
              </w:rPr>
            </w:pPr>
            <w:r w:rsidRPr="00C36951">
              <w:rPr>
                <w:rFonts w:cs="Arial"/>
                <w:b/>
                <w:sz w:val="32"/>
                <w:szCs w:val="32"/>
                <w:lang w:val="es-ES"/>
              </w:rPr>
              <w:t>La esperanza</w:t>
            </w:r>
          </w:p>
        </w:tc>
      </w:tr>
    </w:tbl>
    <w:p w:rsidR="005C633D" w:rsidRPr="00C36951" w:rsidRDefault="005C633D" w:rsidP="00ED602E">
      <w:pPr>
        <w:spacing w:before="240" w:after="240"/>
        <w:ind w:left="360"/>
        <w:rPr>
          <w:lang w:val="es-ES"/>
        </w:rPr>
      </w:pPr>
    </w:p>
    <w:p w:rsidR="00ED602E" w:rsidRDefault="00ED602E" w:rsidP="0099114B">
      <w:pPr>
        <w:pStyle w:val="berschrift2"/>
        <w:rPr>
          <w:lang w:val="es-ES"/>
        </w:rPr>
      </w:pPr>
      <w:r w:rsidRPr="00E417D0">
        <w:rPr>
          <w:lang w:val="es-ES"/>
        </w:rPr>
        <w:lastRenderedPageBreak/>
        <w:t>Vocabulario</w:t>
      </w:r>
    </w:p>
    <w:p w:rsidR="00ED602E" w:rsidRPr="00E417D0" w:rsidRDefault="00ED602E" w:rsidP="00ED602E">
      <w:pPr>
        <w:rPr>
          <w:lang w:val="es-ES"/>
        </w:rPr>
      </w:pPr>
      <w:r>
        <w:rPr>
          <w:lang w:val="es-ES"/>
        </w:rPr>
        <w:t>p. 9</w:t>
      </w:r>
    </w:p>
    <w:p w:rsidR="00ED602E" w:rsidRPr="00E417D0" w:rsidRDefault="00ED602E" w:rsidP="00ED602E">
      <w:pPr>
        <w:rPr>
          <w:lang w:val="es-ES"/>
        </w:rPr>
      </w:pPr>
      <w:r w:rsidRPr="00E417D0">
        <w:rPr>
          <w:lang w:val="es-ES"/>
        </w:rPr>
        <w:t>Empujar – stossen</w:t>
      </w:r>
    </w:p>
    <w:p w:rsidR="00ED602E" w:rsidRPr="00E417D0" w:rsidRDefault="00ED602E" w:rsidP="00ED602E">
      <w:pPr>
        <w:rPr>
          <w:lang w:val="es-ES"/>
        </w:rPr>
      </w:pPr>
      <w:r w:rsidRPr="00E417D0">
        <w:rPr>
          <w:lang w:val="es-ES"/>
        </w:rPr>
        <w:t>La bandeja – Tablet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El frasco – Kleine Flasche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La carpeta – Ordner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Yacer – liegen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Colgado – aufgehängt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Párpado – Wimper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El presentimiento – Vorahnung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La muñeca – Handgelenk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Arrinconar – poner en un rincón (Ecke)</w:t>
      </w:r>
    </w:p>
    <w:p w:rsidR="00ED602E" w:rsidRPr="00E417D0" w:rsidRDefault="00ED602E" w:rsidP="00ED602E">
      <w:r w:rsidRPr="00E417D0">
        <w:t>p. 10</w:t>
      </w:r>
    </w:p>
    <w:p w:rsidR="00ED602E" w:rsidRPr="00E417D0" w:rsidRDefault="00ED602E" w:rsidP="00ED602E">
      <w:r w:rsidRPr="00E417D0">
        <w:t>conseguir – erreichen, gelingen</w:t>
      </w:r>
    </w:p>
    <w:p w:rsidR="00ED602E" w:rsidRPr="00E417D0" w:rsidRDefault="00ED602E" w:rsidP="00ED602E">
      <w:r w:rsidRPr="00E417D0">
        <w:t>aunque – obwohl</w:t>
      </w:r>
    </w:p>
    <w:p w:rsidR="00ED602E" w:rsidRDefault="00ED602E" w:rsidP="00ED602E">
      <w:r>
        <w:t>la confesión – Beichte</w:t>
      </w:r>
    </w:p>
    <w:p w:rsidR="00ED602E" w:rsidRDefault="00ED602E" w:rsidP="00ED602E">
      <w:r>
        <w:t>andarse por las ramas – sich in Worten verlieren</w:t>
      </w:r>
    </w:p>
    <w:p w:rsidR="00ED602E" w:rsidRDefault="00ED602E" w:rsidP="00ED602E">
      <w:r>
        <w:t>empalar – packen, in Beschlag nehmen</w:t>
      </w:r>
    </w:p>
    <w:p w:rsidR="00ED602E" w:rsidRPr="005C633D" w:rsidRDefault="00ED602E" w:rsidP="00ED602E">
      <w:pPr>
        <w:rPr>
          <w:lang w:val="es-ES"/>
        </w:rPr>
      </w:pPr>
      <w:r w:rsidRPr="005C633D">
        <w:rPr>
          <w:lang w:val="es-ES"/>
        </w:rPr>
        <w:t>ansia – miedo</w:t>
      </w:r>
    </w:p>
    <w:p w:rsidR="00ED602E" w:rsidRPr="00ED602E" w:rsidRDefault="00ED602E" w:rsidP="00ED602E">
      <w:r w:rsidRPr="00ED602E">
        <w:t>papeleo – Papierkrieg</w:t>
      </w:r>
    </w:p>
    <w:p w:rsidR="00ED602E" w:rsidRPr="00ED602E" w:rsidRDefault="00ED602E" w:rsidP="00ED602E">
      <w:r w:rsidRPr="00ED602E">
        <w:t>la cita – das Treffen</w:t>
      </w:r>
    </w:p>
    <w:p w:rsidR="00ED602E" w:rsidRPr="00ED602E" w:rsidRDefault="00ED602E" w:rsidP="00ED602E">
      <w:r w:rsidRPr="00ED602E">
        <w:t>fatídico - unheilbringend</w:t>
      </w:r>
    </w:p>
    <w:p w:rsidR="00ED602E" w:rsidRPr="00E417D0" w:rsidRDefault="00ED602E" w:rsidP="00ED602E">
      <w:pPr>
        <w:rPr>
          <w:lang w:val="es-ES"/>
        </w:rPr>
      </w:pPr>
      <w:r w:rsidRPr="00E417D0">
        <w:rPr>
          <w:lang w:val="es-ES"/>
        </w:rPr>
        <w:t>aplazamientos –</w:t>
      </w:r>
      <w:r>
        <w:rPr>
          <w:lang w:val="es-ES"/>
        </w:rPr>
        <w:t xml:space="preserve"> Verschiebun</w:t>
      </w:r>
      <w:r w:rsidRPr="00E417D0">
        <w:rPr>
          <w:lang w:val="es-ES"/>
        </w:rPr>
        <w:t>en</w:t>
      </w:r>
    </w:p>
    <w:p w:rsidR="00ED602E" w:rsidRPr="00E417D0" w:rsidRDefault="00ED602E" w:rsidP="00ED602E">
      <w:pPr>
        <w:rPr>
          <w:lang w:val="es-ES"/>
        </w:rPr>
      </w:pPr>
      <w:r w:rsidRPr="00E417D0">
        <w:rPr>
          <w:lang w:val="es-ES"/>
        </w:rPr>
        <w:t>p. 11</w:t>
      </w:r>
    </w:p>
    <w:p w:rsidR="00ED602E" w:rsidRPr="00E417D0" w:rsidRDefault="00ED602E" w:rsidP="00ED602E">
      <w:pPr>
        <w:rPr>
          <w:lang w:val="es-ES"/>
        </w:rPr>
      </w:pPr>
      <w:r w:rsidRPr="00E417D0">
        <w:rPr>
          <w:lang w:val="es-ES"/>
        </w:rPr>
        <w:t>confianza – Vertrauen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encargarse – sich kümmern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desbaratar - vereiteln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el asunto – Angelengenheit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padecer – leiden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devoción – Hiingabe</w:t>
      </w:r>
    </w:p>
    <w:p w:rsidR="00ED602E" w:rsidRDefault="00ED602E" w:rsidP="00ED602E">
      <w:pPr>
        <w:rPr>
          <w:lang w:val="es-ES"/>
        </w:rPr>
      </w:pPr>
    </w:p>
    <w:p w:rsidR="00ED602E" w:rsidRDefault="00ED602E" w:rsidP="00ED602E">
      <w:pPr>
        <w:rPr>
          <w:lang w:val="es-ES"/>
        </w:rPr>
      </w:pPr>
      <w:r>
        <w:rPr>
          <w:lang w:val="es-ES"/>
        </w:rPr>
        <w:t>agujas – Nadeln</w:t>
      </w:r>
    </w:p>
    <w:p w:rsidR="00ED602E" w:rsidRDefault="00ED602E" w:rsidP="00ED602E">
      <w:pPr>
        <w:rPr>
          <w:lang w:val="es-ES"/>
        </w:rPr>
      </w:pPr>
      <w:r>
        <w:rPr>
          <w:lang w:val="es-ES"/>
        </w:rPr>
        <w:t>boquiabierta – con la boca abierta</w:t>
      </w:r>
    </w:p>
    <w:p w:rsidR="00ED602E" w:rsidRPr="00ED602E" w:rsidRDefault="00ED602E" w:rsidP="00ED602E">
      <w:r w:rsidRPr="00ED602E">
        <w:t>veleidad - Laune</w:t>
      </w:r>
    </w:p>
    <w:p w:rsidR="00ED602E" w:rsidRPr="005C633D" w:rsidRDefault="00ED602E" w:rsidP="00ED602E">
      <w:r w:rsidRPr="005C633D">
        <w:t>p. 12</w:t>
      </w:r>
    </w:p>
    <w:p w:rsidR="00ED602E" w:rsidRPr="005C633D" w:rsidRDefault="00ED602E" w:rsidP="00ED602E">
      <w:r w:rsidRPr="005C633D">
        <w:t>desasosiego - Ratlosigkeit</w:t>
      </w:r>
    </w:p>
    <w:p w:rsidR="00ED602E" w:rsidRPr="005C633D" w:rsidRDefault="00ED602E" w:rsidP="00ED602E">
      <w:r w:rsidRPr="005C633D">
        <w:t>impdirle – verhindern</w:t>
      </w:r>
    </w:p>
    <w:p w:rsidR="00ED602E" w:rsidRPr="005C633D" w:rsidRDefault="00ED602E" w:rsidP="00ED602E">
      <w:r w:rsidRPr="005C633D">
        <w:t>insinuante - einnehmend</w:t>
      </w:r>
    </w:p>
    <w:p w:rsidR="00ED602E" w:rsidRPr="00ED602E" w:rsidRDefault="00ED602E" w:rsidP="00ED602E">
      <w:r w:rsidRPr="00ED602E">
        <w:t>ineludible - zwingend</w:t>
      </w:r>
    </w:p>
    <w:p w:rsidR="00ED602E" w:rsidRPr="00ED602E" w:rsidRDefault="00ED602E" w:rsidP="00ED602E">
      <w:r w:rsidRPr="00ED602E">
        <w:t>apetecer – gustar</w:t>
      </w:r>
    </w:p>
    <w:p w:rsidR="00ED602E" w:rsidRPr="00ED602E" w:rsidRDefault="00ED602E" w:rsidP="00ED602E">
      <w:r w:rsidRPr="00ED602E">
        <w:t>p. 13</w:t>
      </w:r>
    </w:p>
    <w:p w:rsidR="00ED602E" w:rsidRPr="005C633D" w:rsidRDefault="00ED602E" w:rsidP="00ED602E">
      <w:r w:rsidRPr="005C633D">
        <w:t>mudo – stumm</w:t>
      </w:r>
    </w:p>
    <w:p w:rsidR="00ED602E" w:rsidRPr="002C009E" w:rsidRDefault="00ED602E" w:rsidP="00ED602E">
      <w:r w:rsidRPr="002C009E">
        <w:t xml:space="preserve">morder – </w:t>
      </w:r>
      <w:r>
        <w:t>beissen</w:t>
      </w:r>
    </w:p>
    <w:p w:rsidR="00ED602E" w:rsidRPr="002C009E" w:rsidRDefault="00ED602E" w:rsidP="00ED602E">
      <w:r w:rsidRPr="002C009E">
        <w:t>musitar – susurrar - flüstern</w:t>
      </w:r>
    </w:p>
    <w:p w:rsidR="00ED602E" w:rsidRPr="002C009E" w:rsidRDefault="00ED602E" w:rsidP="00ED602E">
      <w:r w:rsidRPr="002C009E">
        <w:t>incitar - beschleunigen</w:t>
      </w:r>
    </w:p>
    <w:p w:rsidR="002315DB" w:rsidRDefault="002315DB"/>
    <w:sectPr w:rsidR="002315DB" w:rsidSect="00600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2F" w:rsidRDefault="005E582F" w:rsidP="006E76BB">
      <w:r>
        <w:separator/>
      </w:r>
    </w:p>
  </w:endnote>
  <w:endnote w:type="continuationSeparator" w:id="0">
    <w:p w:rsidR="005E582F" w:rsidRDefault="005E582F" w:rsidP="006E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BB" w:rsidRDefault="006E76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BB" w:rsidRPr="006E76BB" w:rsidRDefault="006E76BB" w:rsidP="006E76BB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Pr="008A0256">
      <w:rPr>
        <w:rFonts w:cs="Arial"/>
      </w:rPr>
      <w:fldChar w:fldCharType="separate"/>
    </w:r>
    <w:r w:rsidR="005E582F">
      <w:rPr>
        <w:rFonts w:cs="Arial"/>
        <w:noProof/>
      </w:rPr>
      <w:t>1</w:t>
    </w:r>
    <w:r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Pr="008A0256">
      <w:rPr>
        <w:rFonts w:cs="Arial"/>
        <w:lang w:val="de-DE"/>
      </w:rPr>
      <w:fldChar w:fldCharType="separate"/>
    </w:r>
    <w:r w:rsidR="005E582F">
      <w:rPr>
        <w:rFonts w:cs="Arial"/>
        <w:noProof/>
        <w:lang w:val="de-DE"/>
      </w:rPr>
      <w:t>1</w:t>
    </w:r>
    <w:r w:rsidRPr="008A0256">
      <w:rPr>
        <w:rFonts w:cs="Arial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BB" w:rsidRDefault="006E76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2F" w:rsidRDefault="005E582F" w:rsidP="006E76BB">
      <w:r>
        <w:separator/>
      </w:r>
    </w:p>
  </w:footnote>
  <w:footnote w:type="continuationSeparator" w:id="0">
    <w:p w:rsidR="005E582F" w:rsidRDefault="005E582F" w:rsidP="006E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BB" w:rsidRDefault="006E76B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CC2870F254AB40EF8A854455F64C69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76BB" w:rsidRPr="006E76BB" w:rsidRDefault="006E76BB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="Arial"/>
            <w:szCs w:val="24"/>
          </w:rPr>
        </w:pPr>
        <w:r w:rsidRPr="006E76BB">
          <w:rPr>
            <w:rFonts w:eastAsiaTheme="majorEastAsia" w:cs="Arial"/>
            <w:szCs w:val="24"/>
          </w:rPr>
          <w:t>Taller de lecturas</w:t>
        </w:r>
      </w:p>
    </w:sdtContent>
  </w:sdt>
  <w:p w:rsidR="006E76BB" w:rsidRDefault="006E76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BB" w:rsidRDefault="006E76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06A"/>
    <w:multiLevelType w:val="hybridMultilevel"/>
    <w:tmpl w:val="6DE8B6CA"/>
    <w:lvl w:ilvl="0" w:tplc="20C45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33D"/>
    <w:rsid w:val="002315DB"/>
    <w:rsid w:val="005C633D"/>
    <w:rsid w:val="005E582F"/>
    <w:rsid w:val="00600131"/>
    <w:rsid w:val="006E76BB"/>
    <w:rsid w:val="0099114B"/>
    <w:rsid w:val="00E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0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602E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602E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C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ED602E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602E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ED602E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602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ED602E"/>
    <w:pPr>
      <w:numPr>
        <w:numId w:val="2"/>
      </w:numPr>
      <w:spacing w:line="360" w:lineRule="auto"/>
    </w:pPr>
    <w:rPr>
      <w:sz w:val="28"/>
      <w:szCs w:val="32"/>
      <w:lang w:val="es-E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6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6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E76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6BB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E76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6BB"/>
    <w:rPr>
      <w:rFonts w:ascii="Arial" w:eastAsia="Times New Roman" w:hAnsi="Arial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6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6BB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2870F254AB40EF8A854455F64C6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BBD5-7D5C-4528-9479-EA8DBE81A3C3}"/>
      </w:docPartPr>
      <w:docPartBody>
        <w:p w:rsidR="00000000" w:rsidRDefault="002F7650" w:rsidP="002F7650">
          <w:pPr>
            <w:pStyle w:val="CC2870F254AB40EF8A854455F64C69E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7650"/>
    <w:rsid w:val="002F7650"/>
    <w:rsid w:val="00C5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2870F254AB40EF8A854455F64C69E5">
    <w:name w:val="CC2870F254AB40EF8A854455F64C69E5"/>
    <w:rsid w:val="002F7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3</cp:revision>
  <dcterms:created xsi:type="dcterms:W3CDTF">2010-03-09T09:48:00Z</dcterms:created>
  <dcterms:modified xsi:type="dcterms:W3CDTF">2010-03-12T15:30:00Z</dcterms:modified>
</cp:coreProperties>
</file>